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physical change is something that changes  the physical properties  of a substance.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  An example of a physical change is cutting a  piece of cloth.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change?Water can be an example because it can be undone.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1.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No, a chemical change can not be undone.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reaction  that rearranges the particles  of two or more  substances to create  at least one new substance. 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An example is burning wood.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1. always  forms a new substance, 2. may absorb  or release heat, 3. may change  color, produce odor,create sound, release gas, or produce  light, 4.  usually  cannot be undone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 1.  Do not  form a new  substance 2.  May change shape or size 3.  May change state of matter  4.  Can often  be undone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Physical change is usually about states of matter.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 When two or more molecules interact.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 Crushing a can is a physical change because it changed its shape and the energy  in it did not change.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 Burning a sugar cube is a physical change because the substance is still sugar.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 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Iron rust is a chemical change because the molecules change their structure.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 1. Fizzing, 2. Odor, 3. Temperature, 4. Color, 5. Precipitate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 It occurs when gas is released and when chemicals are mixed.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1: Cake baking , and  clothes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An example is cabbage juice.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 An example is fire.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 An example is  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A precipitate is an insoluble  solid  that emerges from a liquid solution.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