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Python bivittatus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Burmese Python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occur on the islands of Java, Bali, Sumbawa and a small part of Sulawesi.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South Florida Everglades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On August 23, 1992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On August 23, 1992 Andrew made landfall south of Miami as a Category 5 hurricane, one of the most powerful ever to hit the United States.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The Burmese python may reach a length of 26 feet and can weight up to 200 pounds.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t has no natural predators, and has eaten animals into endangerment in the Everglades , foxes, racoons , rabbits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Traps and firearms .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rHeight w:val="695.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