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color w:val="333333"/>
          <w:sz w:val="36"/>
          <w:szCs w:val="36"/>
          <w:highlight w:val="white"/>
          <w:rtl w:val="0"/>
        </w:rPr>
        <w:t xml:space="preserve">Theoretical means a probability based on the number of possible outcomes and the amount of times the experiment is run</w:t>
      </w:r>
    </w:p>
    <w:p w:rsidR="00000000" w:rsidDel="00000000" w:rsidP="00000000" w:rsidRDefault="00000000" w:rsidRPr="00000000" w14:paraId="00000008">
      <w:pPr>
        <w:pageBreakBefore w:val="0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color w:val="333333"/>
          <w:sz w:val="36"/>
          <w:szCs w:val="36"/>
          <w:highlight w:val="white"/>
          <w:rtl w:val="0"/>
        </w:rPr>
        <w:t xml:space="preserve">Experimental is the actual probability based on running the experiment and collecting data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